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</w:t>
      </w:r>
    </w:p>
    <w:p w14:paraId="02000000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№ </w:t>
      </w:r>
      <w:r>
        <w:rPr>
          <w:rFonts w:hint="default" w:ascii="Times New Roman" w:hAnsi="Times New Roman"/>
          <w:sz w:val="24"/>
          <w:lang w:val="ru-RU"/>
        </w:rPr>
        <w:t>53</w:t>
      </w:r>
      <w:r>
        <w:rPr>
          <w:rFonts w:ascii="Times New Roman" w:hAnsi="Times New Roman"/>
          <w:sz w:val="24"/>
        </w:rPr>
        <w:t xml:space="preserve">-П </w:t>
      </w:r>
    </w:p>
    <w:p w14:paraId="03000000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</w:t>
      </w:r>
      <w:r>
        <w:rPr>
          <w:rFonts w:hint="default" w:ascii="Times New Roman" w:hAnsi="Times New Roman"/>
          <w:sz w:val="24"/>
          <w:lang w:val="ru-RU"/>
        </w:rPr>
        <w:t>7</w:t>
      </w:r>
      <w:r>
        <w:rPr>
          <w:rFonts w:ascii="Times New Roman" w:hAnsi="Times New Roman"/>
          <w:sz w:val="24"/>
        </w:rPr>
        <w:t>.0</w:t>
      </w:r>
      <w:r>
        <w:rPr>
          <w:rFonts w:hint="default" w:ascii="Times New Roman" w:hAnsi="Times New Roman"/>
          <w:sz w:val="24"/>
          <w:lang w:val="ru-RU"/>
        </w:rPr>
        <w:t>5</w:t>
      </w:r>
      <w:r>
        <w:rPr>
          <w:rFonts w:ascii="Times New Roman" w:hAnsi="Times New Roman"/>
          <w:sz w:val="24"/>
        </w:rPr>
        <w:t>.2025г.</w:t>
      </w:r>
    </w:p>
    <w:p w14:paraId="06000000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0700000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 товаров, работ, услуг, закупки которых осуществляются</w:t>
      </w:r>
    </w:p>
    <w:p w14:paraId="0900000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 субъектов малого и среднего предпринимательства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875"/>
        <w:gridCol w:w="7170"/>
      </w:tblGrid>
      <w:tr w14:paraId="25A3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00000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00000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Классификация по ОКПД2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0000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Наименование товаров, работ, услуг</w:t>
            </w:r>
          </w:p>
        </w:tc>
      </w:tr>
      <w:tr w14:paraId="0BA4F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58.19.15.000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Материалы торгово-рекламные, каталоги торговые и аналогичная издательская продукция печатная</w:t>
            </w:r>
          </w:p>
        </w:tc>
      </w:tr>
      <w:tr w14:paraId="34165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47.52.79.00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Услуги по розничной торговле прочими строительными материалами</w:t>
            </w:r>
          </w:p>
        </w:tc>
      </w:tr>
      <w:tr w14:paraId="2747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45.32.12.000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Услуги по розничной торговле прочими автомобильными деталями</w:t>
            </w:r>
          </w:p>
        </w:tc>
      </w:tr>
      <w:tr w14:paraId="28E0E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45.19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Торговля прочими автотранспортными средствами</w:t>
            </w:r>
          </w:p>
        </w:tc>
      </w:tr>
      <w:tr w14:paraId="15E95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000000">
            <w:pPr>
              <w:widowControl w:val="0"/>
              <w:spacing w:before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5</w:t>
            </w:r>
          </w:p>
        </w:tc>
        <w:tc>
          <w:tcPr>
            <w:tcW w:w="18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000000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color w:val="000000" w:themeColor="dark1"/>
                <w:spacing w:val="0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dark1"/>
                <w:spacing w:val="0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  <w:t>45.20</w:t>
            </w:r>
          </w:p>
        </w:tc>
        <w:tc>
          <w:tcPr>
            <w:tcW w:w="71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000000">
            <w:pPr>
              <w:widowControl w:val="0"/>
              <w:spacing w:before="75" w:after="15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000000"/>
                <w:spacing w:val="0"/>
                <w:sz w:val="22"/>
                <w:szCs w:val="22"/>
              </w:rPr>
              <w:t>Услуги по техническому обслуживанию и ремонту автотранспортных средств</w:t>
            </w:r>
          </w:p>
        </w:tc>
      </w:tr>
      <w:tr w14:paraId="49A5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52.29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Услуги по перевозке грузов</w:t>
            </w:r>
          </w:p>
        </w:tc>
      </w:tr>
      <w:tr w14:paraId="463BA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7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46.46.11.000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  <w:t>Услуги по оптовой торговле основной фармацевтической продукцией и лекарственными препаратами.</w:t>
            </w:r>
          </w:p>
        </w:tc>
      </w:tr>
      <w:tr w14:paraId="6455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8</w:t>
            </w:r>
          </w:p>
        </w:tc>
        <w:tc>
          <w:tcPr>
            <w:tcW w:w="187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  <w:t>69.10.19.000</w:t>
            </w:r>
          </w:p>
        </w:tc>
        <w:tc>
          <w:tcPr>
            <w:tcW w:w="7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  <w:t>Услуги юридические прочие</w:t>
            </w:r>
          </w:p>
          <w:p w14:paraId="25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</w:pPr>
          </w:p>
        </w:tc>
      </w:tr>
      <w:tr w14:paraId="7D380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9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37.00.12.110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  <w:t xml:space="preserve">Услуги по опорожнению и чистке выгребных ям, сточных колодцев и септиков </w:t>
            </w:r>
          </w:p>
        </w:tc>
      </w:tr>
      <w:tr w14:paraId="40D4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  <w:t xml:space="preserve">21.10.51.129 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  <w:t xml:space="preserve">Витамины, в том числе в комбинации с другими препаратами, прочие </w:t>
            </w:r>
          </w:p>
        </w:tc>
      </w:tr>
      <w:tr w14:paraId="1023C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  <w:t>05.10.10.131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  <w:t>Уголь</w:t>
            </w:r>
          </w:p>
        </w:tc>
      </w:tr>
      <w:tr w14:paraId="5A0A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  <w:t>69.20.10.000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Услуги аудита</w:t>
            </w:r>
          </w:p>
        </w:tc>
      </w:tr>
      <w:tr w14:paraId="07244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10.91.10.110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Корма растительные</w:t>
            </w:r>
          </w:p>
        </w:tc>
      </w:tr>
      <w:tr w14:paraId="47D52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26.51.66.190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Лабораторное оборудование</w:t>
            </w:r>
          </w:p>
        </w:tc>
      </w:tr>
      <w:tr w14:paraId="2761E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31.09.1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Мебель</w:t>
            </w:r>
          </w:p>
        </w:tc>
      </w:tr>
      <w:tr w14:paraId="6D6F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41.20.40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000000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272727"/>
                <w:sz w:val="22"/>
                <w:szCs w:val="22"/>
              </w:rPr>
      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      </w:r>
          </w:p>
        </w:tc>
      </w:tr>
      <w:tr w14:paraId="13E56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7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0000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19.20.21.310</w:t>
            </w:r>
          </w:p>
        </w:tc>
        <w:tc>
          <w:tcPr>
            <w:tcW w:w="7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000000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color w:val="272727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333333"/>
                <w:sz w:val="22"/>
                <w:szCs w:val="22"/>
              </w:rPr>
              <w:t>Топливо дизельное летнее</w:t>
            </w:r>
          </w:p>
        </w:tc>
      </w:tr>
      <w:tr w14:paraId="42B7C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000000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1875" w:type="dxa"/>
            <w:shd w:val="clear" w:color="auto" w:fill="FFFFFF"/>
            <w:vAlign w:val="bottom"/>
          </w:tcPr>
          <w:p w14:paraId="45000000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  <w:t>10.91.10.180</w:t>
            </w:r>
          </w:p>
        </w:tc>
        <w:tc>
          <w:tcPr>
            <w:tcW w:w="7170" w:type="dxa"/>
            <w:shd w:val="clear" w:color="auto" w:fill="FFFFFF"/>
            <w:vAlign w:val="bottom"/>
          </w:tcPr>
          <w:p w14:paraId="46000000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  <w:t xml:space="preserve"> Комбикорм</w:t>
            </w:r>
          </w:p>
        </w:tc>
      </w:tr>
      <w:tr w14:paraId="63DA0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000000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19</w:t>
            </w:r>
          </w:p>
        </w:tc>
        <w:tc>
          <w:tcPr>
            <w:tcW w:w="1875" w:type="dxa"/>
            <w:shd w:val="clear" w:color="auto" w:fill="FFFFFF"/>
            <w:vAlign w:val="bottom"/>
          </w:tcPr>
          <w:p w14:paraId="48000000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  <w:t>28.93.12</w:t>
            </w:r>
          </w:p>
        </w:tc>
        <w:tc>
          <w:tcPr>
            <w:tcW w:w="7170" w:type="dxa"/>
            <w:shd w:val="clear" w:color="auto" w:fill="FFFFFF"/>
            <w:vAlign w:val="bottom"/>
          </w:tcPr>
          <w:p w14:paraId="49000000">
            <w:pPr>
              <w:widowControl w:val="0"/>
              <w:spacing w:before="75" w:after="15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2"/>
                <w:szCs w:val="22"/>
              </w:rPr>
              <w:t>Оборудование для обработки и переработки молока</w:t>
            </w:r>
          </w:p>
        </w:tc>
      </w:tr>
      <w:tr w14:paraId="3868B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000000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1875" w:type="dxa"/>
            <w:shd w:val="clear" w:color="auto" w:fill="FFFFFF"/>
            <w:vAlign w:val="bottom"/>
          </w:tcPr>
          <w:p w14:paraId="4B000000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  <w:t>28.30.83</w:t>
            </w:r>
          </w:p>
        </w:tc>
        <w:tc>
          <w:tcPr>
            <w:tcW w:w="7170" w:type="dxa"/>
            <w:shd w:val="clear" w:color="auto" w:fill="FFFFFF"/>
            <w:vAlign w:val="bottom"/>
          </w:tcPr>
          <w:p w14:paraId="4C000000">
            <w:pPr>
              <w:widowControl w:val="0"/>
              <w:spacing w:before="75" w:after="15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2"/>
                <w:szCs w:val="22"/>
              </w:rPr>
              <w:t>Оборудование для приготовления кормов для животных</w:t>
            </w:r>
          </w:p>
        </w:tc>
      </w:tr>
      <w:tr w14:paraId="2E26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000000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1875" w:type="dxa"/>
            <w:shd w:val="clear" w:color="auto" w:fill="FFFFFF"/>
            <w:vAlign w:val="bottom"/>
          </w:tcPr>
          <w:p w14:paraId="4E000000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14:textFill>
                  <w14:solidFill>
                    <w14:schemeClr w14:val="dk1"/>
                  </w14:solidFill>
                </w14:textFill>
              </w:rPr>
              <w:t>43.39</w:t>
            </w:r>
          </w:p>
        </w:tc>
        <w:tc>
          <w:tcPr>
            <w:tcW w:w="7170" w:type="dxa"/>
            <w:shd w:val="clear" w:color="auto" w:fill="FFFFFF"/>
            <w:vAlign w:val="bottom"/>
          </w:tcPr>
          <w:p w14:paraId="4F000000">
            <w:pPr>
              <w:widowControl w:val="0"/>
              <w:spacing w:before="75" w:after="15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2"/>
                <w:szCs w:val="22"/>
              </w:rPr>
              <w:t>Работы завершающие и отделочные в зданиях и сооружениях</w:t>
            </w:r>
          </w:p>
        </w:tc>
      </w:tr>
      <w:tr w14:paraId="369B7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36960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highlight w:val="none"/>
                <w:lang w:val="ru-RU"/>
              </w:rPr>
              <w:t>22</w:t>
            </w:r>
          </w:p>
        </w:tc>
        <w:tc>
          <w:tcPr>
            <w:tcW w:w="1875" w:type="dxa"/>
            <w:shd w:val="clear" w:color="auto" w:fill="FFFFFF"/>
            <w:vAlign w:val="bottom"/>
          </w:tcPr>
          <w:p w14:paraId="4A6AFCB4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:highlight w:val="none"/>
                <w:lang w:val="ru-RU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:highlight w:val="none"/>
                <w:lang w:val="ru-RU"/>
                <w14:textFill>
                  <w14:solidFill>
                    <w14:schemeClr w14:val="dk1"/>
                  </w14:solidFill>
                </w14:textFill>
              </w:rPr>
              <w:t>10.91</w:t>
            </w:r>
          </w:p>
        </w:tc>
        <w:tc>
          <w:tcPr>
            <w:tcW w:w="7170" w:type="dxa"/>
            <w:shd w:val="clear" w:color="auto" w:fill="FFFFFF"/>
            <w:vAlign w:val="bottom"/>
          </w:tcPr>
          <w:p w14:paraId="0BF62950">
            <w:pPr>
              <w:widowControl w:val="0"/>
              <w:spacing w:before="75" w:after="15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2"/>
                <w:szCs w:val="22"/>
                <w:highlight w:val="none"/>
                <w:lang w:val="ru-RU"/>
              </w:rPr>
              <w:t>Корма готовые для сельскохозяйственных животных</w:t>
            </w:r>
          </w:p>
        </w:tc>
      </w:tr>
      <w:tr w14:paraId="6AE4F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EF2B01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highlight w:val="none"/>
                <w:lang w:val="ru-RU"/>
              </w:rPr>
              <w:t>23</w:t>
            </w:r>
          </w:p>
        </w:tc>
        <w:tc>
          <w:tcPr>
            <w:tcW w:w="1875" w:type="dxa"/>
            <w:shd w:val="clear" w:color="auto" w:fill="FFFFFF"/>
            <w:vAlign w:val="bottom"/>
          </w:tcPr>
          <w:p w14:paraId="2CDF2664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:highlight w:val="none"/>
                <w:lang w:val="ru-RU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:highlight w:val="none"/>
                <w:lang w:val="ru-RU"/>
                <w14:textFill>
                  <w14:solidFill>
                    <w14:schemeClr w14:val="dk1"/>
                  </w14:solidFill>
                </w14:textFill>
              </w:rPr>
              <w:t>33.12.21</w:t>
            </w:r>
          </w:p>
        </w:tc>
        <w:tc>
          <w:tcPr>
            <w:tcW w:w="7170" w:type="dxa"/>
            <w:shd w:val="clear" w:color="auto" w:fill="FFFFFF"/>
            <w:vAlign w:val="bottom"/>
          </w:tcPr>
          <w:p w14:paraId="546679D9">
            <w:pPr>
              <w:widowControl w:val="0"/>
              <w:spacing w:before="75" w:after="15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ystem-ui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highlight w:val="none"/>
                <w:shd w:val="clear" w:fill="FFFFFF"/>
              </w:rPr>
              <w:t>Услуги по ремонту и техническому обслуживанию оборудования для сельского и лесного хозяйства</w:t>
            </w:r>
          </w:p>
        </w:tc>
      </w:tr>
      <w:tr w14:paraId="0C033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501183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highlight w:val="none"/>
                <w:lang w:val="ru-RU"/>
              </w:rPr>
              <w:t>24</w:t>
            </w:r>
          </w:p>
        </w:tc>
        <w:tc>
          <w:tcPr>
            <w:tcW w:w="1875" w:type="dxa"/>
            <w:shd w:val="clear" w:color="auto" w:fill="FFFFFF"/>
            <w:vAlign w:val="bottom"/>
          </w:tcPr>
          <w:p w14:paraId="6B073D90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:highlight w:val="none"/>
                <w:lang w:val="ru-RU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:highlight w:val="none"/>
                <w:lang w:val="ru-RU"/>
                <w14:textFill>
                  <w14:solidFill>
                    <w14:schemeClr w14:val="dk1"/>
                  </w14:solidFill>
                </w14:textFill>
              </w:rPr>
              <w:t>22.11.1</w:t>
            </w:r>
          </w:p>
        </w:tc>
        <w:tc>
          <w:tcPr>
            <w:tcW w:w="7170" w:type="dxa"/>
            <w:shd w:val="clear" w:color="auto" w:fill="FFFFFF"/>
            <w:vAlign w:val="bottom"/>
          </w:tcPr>
          <w:p w14:paraId="1D8EA696">
            <w:pPr>
              <w:widowControl w:val="0"/>
              <w:spacing w:before="75" w:after="150"/>
              <w:ind w:left="0" w:right="0" w:firstLine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ystem-ui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highlight w:val="none"/>
                <w:shd w:val="clear" w:fill="FFFFFF"/>
              </w:rPr>
              <w:t>Шины, покрышки и камеры резиновые новые</w:t>
            </w:r>
          </w:p>
        </w:tc>
      </w:tr>
      <w:tr w14:paraId="59E56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83CB7C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sz w:val="22"/>
                <w:szCs w:val="22"/>
                <w:highlight w:val="none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 w:val="0"/>
                <w:sz w:val="22"/>
                <w:szCs w:val="22"/>
                <w:highlight w:val="none"/>
                <w:lang w:val="ru-RU"/>
              </w:rPr>
              <w:t>25</w:t>
            </w:r>
          </w:p>
        </w:tc>
        <w:tc>
          <w:tcPr>
            <w:tcW w:w="1875" w:type="dxa"/>
            <w:shd w:val="clear" w:color="auto" w:fill="FFFFFF"/>
            <w:vAlign w:val="bottom"/>
          </w:tcPr>
          <w:p w14:paraId="02237A0A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:highlight w:val="none"/>
                <w:lang w:val="ru-RU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color w:val="000000" w:themeColor="dark1"/>
                <w:sz w:val="22"/>
                <w:szCs w:val="22"/>
                <w:highlight w:val="none"/>
                <w:lang w:val="ru-RU"/>
                <w14:textFill>
                  <w14:solidFill>
                    <w14:schemeClr w14:val="dk1"/>
                  </w14:solidFill>
                </w14:textFill>
              </w:rPr>
              <w:t>58.29.50</w:t>
            </w:r>
          </w:p>
        </w:tc>
        <w:tc>
          <w:tcPr>
            <w:tcW w:w="7170" w:type="dxa"/>
            <w:shd w:val="clear" w:color="auto" w:fill="FFFFFF"/>
            <w:vAlign w:val="bottom"/>
          </w:tcPr>
          <w:p w14:paraId="7AC15205">
            <w:pPr>
              <w:widowControl w:val="0"/>
              <w:spacing w:before="75" w:after="150"/>
              <w:ind w:left="0" w:right="0" w:firstLine="0"/>
              <w:jc w:val="left"/>
              <w:rPr>
                <w:rFonts w:hint="default" w:ascii="Times New Roman" w:hAnsi="Times New Roman" w:eastAsia="system-ui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highlight w:val="none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ystem-ui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highlight w:val="none"/>
                <w:shd w:val="clear" w:fill="FFFFFF"/>
                <w:lang w:val="ru-RU"/>
              </w:rPr>
              <w:t>Услуги по предоставлению лицензий на право использовать компьютерное программное обеспечение</w:t>
            </w:r>
          </w:p>
        </w:tc>
      </w:tr>
      <w:bookmarkEnd w:id="0"/>
    </w:tbl>
    <w:p w14:paraId="53040C3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sectPr>
      <w:pgSz w:w="11906" w:h="16838"/>
      <w:pgMar w:top="851" w:right="850" w:bottom="993" w:left="17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iberatio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3FB56316"/>
    <w:rsid w:val="452C3026"/>
    <w:rsid w:val="57FF574F"/>
    <w:rsid w:val="63605276"/>
    <w:rsid w:val="753B357D"/>
    <w:rsid w:val="76003C7B"/>
    <w:rsid w:val="7E1564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widowControl w:val="0"/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widowControl w:val="0"/>
      <w:spacing w:before="120" w:after="120" w:line="240" w:lineRule="auto"/>
      <w:ind w:left="0" w:right="0" w:firstLine="0"/>
      <w:jc w:val="left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widowControl w:val="0"/>
      <w:spacing w:before="120" w:after="120" w:line="240" w:lineRule="auto"/>
      <w:ind w:left="0" w:right="0" w:firstLine="0"/>
      <w:jc w:val="left"/>
      <w:outlineLvl w:val="1"/>
    </w:pPr>
    <w:rPr>
      <w:rFonts w:ascii="XO Thames" w:hAnsi="XO Thames" w:eastAsiaTheme="minorEastAsia" w:cstheme="minorBidi"/>
      <w:b/>
      <w:color w:val="00A0FF"/>
      <w:spacing w:val="0"/>
      <w:sz w:val="26"/>
    </w:rPr>
  </w:style>
  <w:style w:type="paragraph" w:styleId="4">
    <w:name w:val="heading 3"/>
    <w:next w:val="1"/>
    <w:qFormat/>
    <w:uiPriority w:val="9"/>
    <w:pPr>
      <w:widowControl w:val="0"/>
      <w:spacing w:before="0" w:after="0" w:line="240" w:lineRule="auto"/>
      <w:ind w:left="0" w:right="0" w:firstLine="0"/>
      <w:jc w:val="left"/>
      <w:outlineLvl w:val="2"/>
    </w:pPr>
    <w:rPr>
      <w:rFonts w:ascii="XO Thames" w:hAnsi="XO Thames" w:eastAsiaTheme="minorEastAsia" w:cstheme="minorBidi"/>
      <w:b/>
      <w:i/>
      <w:color w:val="000000"/>
      <w:spacing w:val="0"/>
      <w:sz w:val="22"/>
    </w:rPr>
  </w:style>
  <w:style w:type="paragraph" w:styleId="5">
    <w:name w:val="heading 4"/>
    <w:next w:val="1"/>
    <w:qFormat/>
    <w:uiPriority w:val="9"/>
    <w:pPr>
      <w:widowControl w:val="0"/>
      <w:spacing w:before="120" w:after="120" w:line="240" w:lineRule="auto"/>
      <w:ind w:left="0" w:right="0" w:firstLine="0"/>
      <w:jc w:val="left"/>
      <w:outlineLvl w:val="3"/>
    </w:pPr>
    <w:rPr>
      <w:rFonts w:ascii="XO Thames" w:hAnsi="XO Thames" w:eastAsiaTheme="minorEastAsia" w:cstheme="minorBidi"/>
      <w:b/>
      <w:color w:val="595959"/>
      <w:spacing w:val="0"/>
      <w:sz w:val="26"/>
    </w:rPr>
  </w:style>
  <w:style w:type="paragraph" w:styleId="6">
    <w:name w:val="heading 5"/>
    <w:next w:val="1"/>
    <w:qFormat/>
    <w:uiPriority w:val="9"/>
    <w:pPr>
      <w:widowControl w:val="0"/>
      <w:spacing w:before="120" w:after="120" w:line="240" w:lineRule="auto"/>
      <w:ind w:left="0" w:right="0" w:firstLine="0"/>
      <w:jc w:val="left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Balloon Text"/>
    <w:basedOn w:val="1"/>
    <w:qFormat/>
    <w:uiPriority w:val="0"/>
    <w:pPr>
      <w:widowControl w:val="0"/>
      <w:spacing w:after="0" w:line="240" w:lineRule="auto"/>
    </w:pPr>
    <w:rPr>
      <w:rFonts w:ascii="Tahoma" w:hAnsi="Tahoma"/>
      <w:sz w:val="16"/>
    </w:rPr>
  </w:style>
  <w:style w:type="paragraph" w:styleId="11">
    <w:name w:val="caption"/>
    <w:basedOn w:val="1"/>
    <w:qFormat/>
    <w:uiPriority w:val="0"/>
    <w:pPr>
      <w:widowControl w:val="0"/>
      <w:spacing w:before="120" w:after="120"/>
    </w:pPr>
    <w:rPr>
      <w:i/>
      <w:sz w:val="24"/>
    </w:rPr>
  </w:style>
  <w:style w:type="paragraph" w:styleId="12">
    <w:name w:val="toc 8"/>
    <w:next w:val="1"/>
    <w:qFormat/>
    <w:uiPriority w:val="39"/>
    <w:pPr>
      <w:widowControl w:val="0"/>
      <w:spacing w:before="0" w:after="0" w:line="240" w:lineRule="auto"/>
      <w:ind w:left="140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13">
    <w:name w:val="toc 9"/>
    <w:next w:val="1"/>
    <w:qFormat/>
    <w:uiPriority w:val="39"/>
    <w:pPr>
      <w:widowControl w:val="0"/>
      <w:spacing w:before="0" w:after="0" w:line="240" w:lineRule="auto"/>
      <w:ind w:left="160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14">
    <w:name w:val="toc 7"/>
    <w:next w:val="1"/>
    <w:qFormat/>
    <w:uiPriority w:val="39"/>
    <w:pPr>
      <w:widowControl w:val="0"/>
      <w:spacing w:before="0" w:after="0" w:line="240" w:lineRule="auto"/>
      <w:ind w:left="120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15">
    <w:name w:val="Body Text"/>
    <w:basedOn w:val="1"/>
    <w:qFormat/>
    <w:uiPriority w:val="0"/>
    <w:pPr>
      <w:widowControl w:val="0"/>
      <w:spacing w:after="140"/>
    </w:pPr>
  </w:style>
  <w:style w:type="paragraph" w:styleId="16">
    <w:name w:val="index heading"/>
    <w:basedOn w:val="1"/>
    <w:qFormat/>
    <w:uiPriority w:val="0"/>
  </w:style>
  <w:style w:type="paragraph" w:styleId="17">
    <w:name w:val="toc 1"/>
    <w:next w:val="1"/>
    <w:qFormat/>
    <w:uiPriority w:val="39"/>
    <w:pPr>
      <w:widowControl w:val="0"/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paragraph" w:styleId="18">
    <w:name w:val="toc 6"/>
    <w:next w:val="1"/>
    <w:qFormat/>
    <w:uiPriority w:val="39"/>
    <w:pPr>
      <w:widowControl w:val="0"/>
      <w:spacing w:before="0" w:after="0" w:line="240" w:lineRule="auto"/>
      <w:ind w:left="100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19">
    <w:name w:val="toc 3"/>
    <w:next w:val="1"/>
    <w:qFormat/>
    <w:uiPriority w:val="39"/>
    <w:pPr>
      <w:widowControl w:val="0"/>
      <w:spacing w:before="0" w:after="0" w:line="240" w:lineRule="auto"/>
      <w:ind w:left="40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0">
    <w:name w:val="toc 2"/>
    <w:next w:val="1"/>
    <w:qFormat/>
    <w:uiPriority w:val="39"/>
    <w:pPr>
      <w:widowControl w:val="0"/>
      <w:spacing w:before="0" w:after="0" w:line="240" w:lineRule="auto"/>
      <w:ind w:left="20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1">
    <w:name w:val="toc 4"/>
    <w:next w:val="1"/>
    <w:qFormat/>
    <w:uiPriority w:val="39"/>
    <w:pPr>
      <w:widowControl w:val="0"/>
      <w:spacing w:before="0" w:after="0" w:line="240" w:lineRule="auto"/>
      <w:ind w:left="60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2">
    <w:name w:val="toc 5"/>
    <w:next w:val="1"/>
    <w:qFormat/>
    <w:uiPriority w:val="39"/>
    <w:pPr>
      <w:widowControl w:val="0"/>
      <w:spacing w:before="0" w:after="0" w:line="240" w:lineRule="auto"/>
      <w:ind w:left="80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3">
    <w:name w:val="Title"/>
    <w:next w:val="1"/>
    <w:qFormat/>
    <w:uiPriority w:val="10"/>
    <w:pPr>
      <w:widowControl w:val="0"/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52"/>
    </w:rPr>
  </w:style>
  <w:style w:type="paragraph" w:styleId="24">
    <w:name w:val="List"/>
    <w:basedOn w:val="15"/>
    <w:qFormat/>
    <w:uiPriority w:val="0"/>
  </w:style>
  <w:style w:type="paragraph" w:styleId="25">
    <w:name w:val="Subtitle"/>
    <w:next w:val="1"/>
    <w:qFormat/>
    <w:uiPriority w:val="11"/>
    <w:pPr>
      <w:widowControl w:val="0"/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i/>
      <w:color w:val="616161"/>
      <w:spacing w:val="0"/>
      <w:sz w:val="24"/>
    </w:rPr>
  </w:style>
  <w:style w:type="table" w:styleId="26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Основной шрифт абзаца1"/>
    <w:link w:val="28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28">
    <w:name w:val="Основной шрифт абзаца11"/>
    <w:link w:val="27"/>
    <w:qFormat/>
    <w:uiPriority w:val="0"/>
  </w:style>
  <w:style w:type="paragraph" w:customStyle="1" w:styleId="29">
    <w:name w:val="Обычный1"/>
    <w:link w:val="30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30">
    <w:name w:val="Обычный11"/>
    <w:link w:val="29"/>
    <w:qFormat/>
    <w:uiPriority w:val="0"/>
  </w:style>
  <w:style w:type="paragraph" w:customStyle="1" w:styleId="31">
    <w:name w:val="Endnote"/>
    <w:link w:val="32"/>
    <w:qFormat/>
    <w:uiPriority w:val="0"/>
    <w:pPr>
      <w:widowControl/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32">
    <w:name w:val="Endnote1"/>
    <w:link w:val="31"/>
    <w:qFormat/>
    <w:uiPriority w:val="0"/>
    <w:rPr>
      <w:rFonts w:ascii="XO Thames" w:hAnsi="XO Thames"/>
      <w:sz w:val="22"/>
    </w:rPr>
  </w:style>
  <w:style w:type="paragraph" w:customStyle="1" w:styleId="33">
    <w:name w:val="toc 10"/>
    <w:next w:val="1"/>
    <w:link w:val="34"/>
    <w:qFormat/>
    <w:uiPriority w:val="0"/>
    <w:pPr>
      <w:widowControl w:val="0"/>
      <w:spacing w:before="0" w:after="0" w:line="240" w:lineRule="auto"/>
      <w:ind w:left="180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34">
    <w:name w:val="toc 101"/>
    <w:link w:val="33"/>
    <w:qFormat/>
    <w:uiPriority w:val="0"/>
  </w:style>
  <w:style w:type="paragraph" w:styleId="35">
    <w:name w:val="No Spacing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customStyle="1" w:styleId="36">
    <w:name w:val="e29067e5dbe88132ca60788a0e68b108"/>
    <w:basedOn w:val="27"/>
    <w:link w:val="37"/>
    <w:qFormat/>
    <w:uiPriority w:val="0"/>
  </w:style>
  <w:style w:type="character" w:customStyle="1" w:styleId="37">
    <w:name w:val="e29067e5dbe88132ca60788a0e68b1081"/>
    <w:basedOn w:val="28"/>
    <w:link w:val="36"/>
    <w:qFormat/>
    <w:uiPriority w:val="0"/>
  </w:style>
  <w:style w:type="paragraph" w:customStyle="1" w:styleId="38">
    <w:name w:val="Гиперссылка1"/>
    <w:link w:val="39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color w:val="0000FF"/>
      <w:spacing w:val="0"/>
      <w:sz w:val="22"/>
      <w:u w:val="single"/>
    </w:rPr>
  </w:style>
  <w:style w:type="character" w:customStyle="1" w:styleId="39">
    <w:name w:val="Гиперссылка11"/>
    <w:link w:val="38"/>
    <w:qFormat/>
    <w:uiPriority w:val="0"/>
    <w:rPr>
      <w:color w:val="0000FF"/>
      <w:u w:val="single"/>
    </w:rPr>
  </w:style>
  <w:style w:type="paragraph" w:customStyle="1" w:styleId="40">
    <w:name w:val="Заголовок"/>
    <w:basedOn w:val="1"/>
    <w:next w:val="15"/>
    <w:link w:val="41"/>
    <w:qFormat/>
    <w:uiPriority w:val="0"/>
    <w:pPr>
      <w:keepNext/>
      <w:widowControl w:val="0"/>
      <w:spacing w:before="240" w:after="120"/>
    </w:pPr>
    <w:rPr>
      <w:rFonts w:ascii="Liberation Sans" w:hAnsi="Liberation Sans"/>
      <w:sz w:val="28"/>
    </w:rPr>
  </w:style>
  <w:style w:type="character" w:customStyle="1" w:styleId="41">
    <w:name w:val="Заголовок1"/>
    <w:link w:val="40"/>
    <w:qFormat/>
    <w:uiPriority w:val="0"/>
    <w:rPr>
      <w:rFonts w:ascii="Liberation Sans" w:hAnsi="Liberation Sans"/>
      <w:sz w:val="28"/>
    </w:rPr>
  </w:style>
  <w:style w:type="paragraph" w:customStyle="1" w:styleId="42">
    <w:name w:val="blk"/>
    <w:basedOn w:val="27"/>
    <w:link w:val="43"/>
    <w:qFormat/>
    <w:uiPriority w:val="0"/>
  </w:style>
  <w:style w:type="character" w:customStyle="1" w:styleId="43">
    <w:name w:val="blk1"/>
    <w:basedOn w:val="28"/>
    <w:link w:val="42"/>
    <w:qFormat/>
    <w:uiPriority w:val="0"/>
  </w:style>
  <w:style w:type="paragraph" w:customStyle="1" w:styleId="44">
    <w:name w:val="Интернет-ссылка"/>
    <w:basedOn w:val="27"/>
    <w:link w:val="45"/>
    <w:qFormat/>
    <w:uiPriority w:val="0"/>
    <w:rPr>
      <w:color w:val="0000FF"/>
      <w:u w:val="single"/>
    </w:rPr>
  </w:style>
  <w:style w:type="character" w:customStyle="1" w:styleId="45">
    <w:name w:val="Интернет-ссылка1"/>
    <w:basedOn w:val="28"/>
    <w:link w:val="44"/>
    <w:qFormat/>
    <w:uiPriority w:val="0"/>
    <w:rPr>
      <w:color w:val="0000FF"/>
      <w:u w:val="single"/>
    </w:rPr>
  </w:style>
  <w:style w:type="paragraph" w:customStyle="1" w:styleId="46">
    <w:name w:val="Footnote"/>
    <w:link w:val="47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47">
    <w:name w:val="Footnote1"/>
    <w:link w:val="46"/>
    <w:qFormat/>
    <w:uiPriority w:val="0"/>
    <w:rPr>
      <w:rFonts w:ascii="XO Thames" w:hAnsi="XO Thames"/>
    </w:rPr>
  </w:style>
  <w:style w:type="paragraph" w:customStyle="1" w:styleId="48">
    <w:name w:val="Header and Footer"/>
    <w:link w:val="49"/>
    <w:qFormat/>
    <w:uiPriority w:val="0"/>
    <w:pPr>
      <w:widowControl w:val="0"/>
      <w:spacing w:before="0" w:after="0" w:line="360" w:lineRule="auto"/>
      <w:ind w:left="0" w:right="0" w:firstLine="0"/>
      <w:jc w:val="left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49">
    <w:name w:val="Header and Footer1"/>
    <w:link w:val="48"/>
    <w:qFormat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10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2025-01-15T06:31:00Z</dcterms:created>
  <dc:creator>Татьяна</dc:creator>
  <cp:lastModifiedBy>Татьяна</cp:lastModifiedBy>
  <cp:lastPrinted>2025-11-20T02:59:00Z</cp:lastPrinted>
  <dcterms:modified xsi:type="dcterms:W3CDTF">2025-11-20T03:02:34Z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849A30AC41E446E5B0DFB4B17F8DF28B_12</vt:lpwstr>
  </property>
</Properties>
</file>